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2D8A4E"/>
          <w:spacing w:val="60"/>
          <w:sz w:val="18"/>
          <w:szCs w:val="18"/>
        </w:rPr>
        <w:t xml:space="preserve">THE SURVEY SCHOOL</w:t>
      </w:r>
    </w:p>
    <w:p>
      <w:pPr>
        <w:spacing w:after="120" w:before="40"/>
        <w:jc w:val="center"/>
      </w:pPr>
      <w:r>
        <w:rPr>
          <w:b/>
          <w:bCs/>
          <w:color w:val="111111"/>
          <w:sz w:val="32"/>
          <w:szCs w:val="32"/>
        </w:rPr>
        <w:t xml:space="preserve">Guidelines for Authors Preparing an Abstract</w:t>
      </w:r>
    </w:p>
    <w:p>
      <w:pPr>
        <w:spacing w:after="160"/>
        <w:jc w:val="center"/>
      </w:pPr>
      <w:r>
        <w:rPr>
          <w:b/>
          <w:bCs/>
          <w:color w:val="111111"/>
          <w:sz w:val="32"/>
          <w:szCs w:val="32"/>
        </w:rPr>
        <w:t xml:space="preserve">for the Survey Research Symposium</w:t>
      </w:r>
    </w:p>
    <w:p>
      <w:pPr>
        <w:spacing w:after="40"/>
        <w:jc w:val="center"/>
      </w:pPr>
      <w:r>
        <w:rPr>
          <w:i/>
          <w:iCs/>
          <w:color w:val="333333"/>
          <w:sz w:val="22"/>
          <w:szCs w:val="22"/>
        </w:rPr>
        <w:t xml:space="preserve">The Survey School Symposium Programme Committee</w:t>
      </w:r>
    </w:p>
    <w:p>
      <w:pPr>
        <w:spacing w:after="240"/>
        <w:jc w:val="center"/>
      </w:pPr>
      <w:r>
        <w:rPr>
          <w:color w:val="6B7280"/>
          <w:sz w:val="20"/>
          <w:szCs w:val="20"/>
        </w:rPr>
        <w:t xml:space="preserve">The Survey School · </w:t>
      </w:r>
      <w:r>
        <w:rPr>
          <w:color w:val="6B7280"/>
          <w:sz w:val="20"/>
          <w:szCs w:val="20"/>
        </w:rPr>
        <w:t xml:space="preserve">symposium@thesurveyschool.com</w:t>
      </w:r>
    </w:p>
    <w:p>
      <w:pPr>
        <w:pBdr>
          <w:bottom w:val="single" w:color="2D8A4E" w:sz="8" w:space="1"/>
        </w:pBdr>
        <w:spacing w:after="240"/>
      </w:pPr>
      <w:r>
        <w:t xml:space="preserve"/>
      </w:r>
    </w:p>
    <w:p>
      <w:pPr>
        <w:spacing w:after="320"/>
      </w:pPr>
      <w:r>
        <w:rPr>
          <w:b/>
          <w:bCs/>
          <w:color w:val="0F3A1F"/>
        </w:rPr>
        <w:t xml:space="preserve">Keywords: </w:t>
      </w:r>
      <w:r>
        <w:t xml:space="preserve">Abstract, Symposium, Submission, Guidelines, Survey Research, Geomatics, Intergeo</w:t>
      </w:r>
    </w:p>
    <w:p>
      <w:pPr>
        <w:pStyle w:val="Heading1"/>
        <w:spacing w:after="180" w:before="360"/>
      </w:pPr>
      <w:r>
        <w:rPr>
          <w:b/>
          <w:bCs/>
          <w:color w:val="0F3A1F"/>
          <w:sz w:val="28"/>
          <w:szCs w:val="28"/>
        </w:rPr>
        <w:t xml:space="preserve">1. About This Document</w:t>
      </w:r>
    </w:p>
    <w:p>
      <w:pPr>
        <w:pStyle w:val="Heading2"/>
        <w:spacing w:after="100" w:before="240"/>
      </w:pPr>
      <w:r>
        <w:rPr>
          <w:b/>
          <w:bCs/>
          <w:color w:val="2D8A4E"/>
          <w:sz w:val="24"/>
          <w:szCs w:val="24"/>
        </w:rPr>
        <w:t xml:space="preserve">1.1 Introduction</w:t>
      </w:r>
    </w:p>
    <w:p>
      <w:pPr>
        <w:spacing w:after="120" w:line="280"/>
      </w:pPr>
      <w:r>
        <w:t xml:space="preserve">These guidelines describe how to prepare and submit an abstract for the Survey Research Symposium. The Symposium is a one-day virtual event hosted by The Survey School. Selected presenters give a short talk to the community on July 20, 2026. The winning project receives a fully-funded trip to Intergeo 2026 in Munich, Germany (September 15–17, 2026 at Messe Munich) — the world’s leading platform for geodesy, geoinformation, and land management.</w:t>
      </w:r>
    </w:p>
    <w:p>
      <w:pPr>
        <w:spacing w:after="120" w:line="280"/>
      </w:pPr>
      <w:r>
        <w:t xml:space="preserve">Applicants submit abstracts via the online form at thesurveyschool.com/symposium. Submissions are reviewed by the Programme Committee in a single-blind process. Selected applicants are invited to two cohort training calls before the live presentation.</w:t>
      </w:r>
    </w:p>
    <w:p>
      <w:pPr>
        <w:pStyle w:val="Heading2"/>
        <w:spacing w:after="100" w:before="240"/>
      </w:pPr>
      <w:r>
        <w:rPr>
          <w:b/>
          <w:bCs/>
          <w:color w:val="2D8A4E"/>
          <w:sz w:val="24"/>
          <w:szCs w:val="24"/>
        </w:rPr>
        <w:t xml:space="preserve">1.2 What We Look For</w:t>
      </w:r>
    </w:p>
    <w:p>
      <w:pPr>
        <w:spacing w:after="120" w:line="280"/>
      </w:pPr>
      <w:r>
        <w:t xml:space="preserve">A strong abstract communicates a clear research question, evidence of work done, and a result or expected outcome that an interested audience can grasp in two minutes of reading. Originality and technical depth matter. So does plain writing. The Committee will read several dozen submissions in a single sitting — clarity is a competitive advantage.</w:t>
      </w:r>
    </w:p>
    <w:p>
      <w:pPr>
        <w:spacing w:after="120" w:line="280"/>
      </w:pPr>
      <w:r>
        <w:rPr>
          <w:b/>
          <w:bCs/>
          <w:color w:val="0F3A1F"/>
        </w:rPr>
        <w:t xml:space="preserve">Past winner. </w:t>
      </w:r>
      <w:r>
        <w:t xml:space="preserve">The 2025 Symposium was won by Chaplain TIG Heaslet with “Bridging the Generational Gap: A Qualitative Analysis of Pre-College Student Perceptions of Surveying Careers.” The Survey School flew TIG to Intergeo 2025 in Frankfurt, where he presented on the Intergeo main stage. Strong submissions read like his — a specific question, original field research, and a finding that an industry audience cares about.</w:t>
      </w:r>
    </w:p>
    <w:p>
      <w:pPr>
        <w:pStyle w:val="Heading2"/>
        <w:spacing w:after="100" w:before="240"/>
      </w:pPr>
      <w:r>
        <w:rPr>
          <w:b/>
          <w:bCs/>
          <w:color w:val="2D8A4E"/>
          <w:sz w:val="24"/>
          <w:szCs w:val="24"/>
        </w:rPr>
        <w:t xml:space="preserve">1.3 Eligibility</w:t>
      </w:r>
    </w:p>
    <w:p>
      <w:pPr>
        <w:spacing w:after="120" w:line="280"/>
      </w:pPr>
      <w:r>
        <w:t xml:space="preserve">Open to anyone working on surveying, geomatics, photogrammetry, GNSS, scanning, drone mapping, GIS, or adjacent research. You do not need to be a Survey School member. You do not need to hold a professional license. Independent researchers, students, professional surveyors, software developers, and academic faculty are all welcome to submit.</w:t>
      </w:r>
    </w:p>
    <w:p>
      <w:pPr>
        <w:pStyle w:val="Heading1"/>
        <w:spacing w:after="180" w:before="360"/>
      </w:pPr>
      <w:r>
        <w:rPr>
          <w:b/>
          <w:bCs/>
          <w:color w:val="0F3A1F"/>
          <w:sz w:val="28"/>
          <w:szCs w:val="28"/>
        </w:rPr>
        <w:t xml:space="preserve">2. Abstract Structure</w:t>
      </w:r>
    </w:p>
    <w:p>
      <w:pPr>
        <w:pStyle w:val="Heading2"/>
        <w:spacing w:after="100" w:before="240"/>
      </w:pPr>
      <w:r>
        <w:rPr>
          <w:b/>
          <w:bCs/>
          <w:color w:val="2D8A4E"/>
          <w:sz w:val="24"/>
          <w:szCs w:val="24"/>
        </w:rPr>
        <w:t xml:space="preserve">2.1 Required Information</w:t>
      </w:r>
    </w:p>
    <w:p>
      <w:pPr>
        <w:spacing w:after="120" w:line="280"/>
      </w:pPr>
      <w:r>
        <w:t xml:space="preserve">Every submission must include the following:</w:t>
      </w:r>
    </w:p>
    <w:p>
      <w:pPr>
        <w:pStyle w:val="ListParagraph"/>
        <w:numPr>
          <w:ilvl w:val="0"/>
          <w:numId w:val="2"/>
        </w:numPr>
        <w:spacing w:after="80" w:line="280"/>
      </w:pPr>
      <w:r>
        <w:t xml:space="preserve">A descriptive project title</w:t>
      </w:r>
    </w:p>
    <w:p>
      <w:pPr>
        <w:pStyle w:val="ListParagraph"/>
        <w:numPr>
          <w:ilvl w:val="0"/>
          <w:numId w:val="2"/>
        </w:numPr>
        <w:spacing w:after="80" w:line="280"/>
      </w:pPr>
      <w:r>
        <w:t xml:space="preserve">The author’s name, affiliation, and country</w:t>
      </w:r>
    </w:p>
    <w:p>
      <w:pPr>
        <w:pStyle w:val="ListParagraph"/>
        <w:numPr>
          <w:ilvl w:val="0"/>
          <w:numId w:val="2"/>
        </w:numPr>
        <w:spacing w:after="80" w:line="280"/>
      </w:pPr>
      <w:r>
        <w:t xml:space="preserve">The project category (software, hardware, field study, methodology, education, or other)</w:t>
      </w:r>
    </w:p>
    <w:p>
      <w:pPr>
        <w:pStyle w:val="ListParagraph"/>
        <w:numPr>
          <w:ilvl w:val="0"/>
          <w:numId w:val="2"/>
        </w:numPr>
        <w:spacing w:after="80" w:line="280"/>
      </w:pPr>
      <w:r>
        <w:t xml:space="preserve">The abstract itself (300–500 words)</w:t>
      </w:r>
    </w:p>
    <w:p>
      <w:pPr>
        <w:pStyle w:val="ListParagraph"/>
        <w:numPr>
          <w:ilvl w:val="0"/>
          <w:numId w:val="2"/>
        </w:numPr>
        <w:spacing w:after="80" w:line="280"/>
      </w:pPr>
      <w:r>
        <w:t xml:space="preserve">A short summary of the sensors, tools, or methods used</w:t>
      </w:r>
    </w:p>
    <w:p>
      <w:pPr>
        <w:spacing w:after="120" w:line="280"/>
      </w:pPr>
      <w:r>
        <w:t xml:space="preserve">Co-authors should be listed in the abstract body. The primary submitter is responsible for communication with the Committee and, if selected, for the live presentation.</w:t>
      </w:r>
    </w:p>
    <w:p>
      <w:pPr>
        <w:pStyle w:val="Heading2"/>
        <w:spacing w:after="100" w:before="240"/>
      </w:pPr>
      <w:r>
        <w:rPr>
          <w:b/>
          <w:bCs/>
          <w:color w:val="2D8A4E"/>
          <w:sz w:val="24"/>
          <w:szCs w:val="24"/>
        </w:rPr>
        <w:t xml:space="preserve">2.2 The Four Sections of a Strong Abstract</w:t>
      </w:r>
    </w:p>
    <w:p>
      <w:pPr>
        <w:spacing w:after="120" w:line="280"/>
      </w:pPr>
      <w:r>
        <w:t xml:space="preserve">Frame the abstract around four short blocks. Headings are not required in the submission form, but the underlying structure should be present.</w:t>
      </w:r>
    </w:p>
    <w:p>
      <w:pPr>
        <w:spacing w:after="120" w:line="280"/>
      </w:pPr>
      <w:r>
        <w:rPr>
          <w:b/>
          <w:bCs/>
          <w:color w:val="0F3A1F"/>
        </w:rPr>
        <w:t xml:space="preserve">Background. </w:t>
      </w:r>
      <w:r>
        <w:t xml:space="preserve">Two to three sentences setting up the problem. What gap, question, or unmet need motivates the work? Why does it matter to a practicing surveyor or geospatial professional?</w:t>
      </w:r>
    </w:p>
    <w:p>
      <w:pPr>
        <w:spacing w:after="120" w:line="280"/>
      </w:pPr>
      <w:r>
        <w:rPr>
          <w:b/>
          <w:bCs/>
          <w:color w:val="0F3A1F"/>
        </w:rPr>
        <w:t xml:space="preserve">Approach. </w:t>
      </w:r>
      <w:r>
        <w:t xml:space="preserve">What you did, or are doing. Describe the sensors, software, datasets, sample size, and any reference benchmarks. Be specific — “a consumer LiDAR scanner” beats “a scanning device.” A judge should be able to mentally reproduce the setup from your description.</w:t>
      </w:r>
    </w:p>
    <w:p>
      <w:pPr>
        <w:spacing w:after="120" w:line="280"/>
      </w:pPr>
      <w:r>
        <w:rPr>
          <w:b/>
          <w:bCs/>
          <w:color w:val="0F3A1F"/>
        </w:rPr>
        <w:t xml:space="preserve">Findings. </w:t>
      </w:r>
      <w:r>
        <w:t xml:space="preserve">What the work shows so far. Preliminary, in-progress, and negative results are all valid — be honest about the stage of the work. Quantitative results are preferred where they exist.</w:t>
      </w:r>
    </w:p>
    <w:p>
      <w:pPr>
        <w:spacing w:after="120" w:line="280"/>
      </w:pPr>
      <w:r>
        <w:rPr>
          <w:b/>
          <w:bCs/>
          <w:color w:val="0F3A1F"/>
        </w:rPr>
        <w:t xml:space="preserve">Significance. </w:t>
      </w:r>
      <w:r>
        <w:t xml:space="preserve">Two to three sentences on why the finding is interesting. Who benefits? What changes if this work succeeds? Avoid hyperbole — the Committee values calibrated claims.</w:t>
      </w:r>
    </w:p>
    <w:p>
      <w:pPr>
        <w:pStyle w:val="Heading2"/>
        <w:spacing w:after="100" w:before="240"/>
      </w:pPr>
      <w:r>
        <w:rPr>
          <w:b/>
          <w:bCs/>
          <w:color w:val="2D8A4E"/>
          <w:sz w:val="24"/>
          <w:szCs w:val="24"/>
        </w:rPr>
        <w:t xml:space="preserve">2.3 Length</w:t>
      </w:r>
    </w:p>
    <w:p>
      <w:pPr>
        <w:spacing w:after="120" w:line="280"/>
      </w:pPr>
      <w:r>
        <w:t xml:space="preserve">The form field accepts 300–500 words. Submissions shorter than 200 words rarely contain enough evidence to evaluate. Submissions longer than 500 words tend to bury the contribution under exposition; the Committee may ask for a tightened version.</w:t>
      </w:r>
    </w:p>
    <w:p>
      <w:pPr>
        <w:pStyle w:val="Heading1"/>
        <w:spacing w:after="180" w:before="360"/>
      </w:pPr>
      <w:r>
        <w:rPr>
          <w:b/>
          <w:bCs/>
          <w:color w:val="0F3A1F"/>
          <w:sz w:val="28"/>
          <w:szCs w:val="28"/>
        </w:rPr>
        <w:t xml:space="preserve">3. Optional Supporting Document</w:t>
      </w:r>
    </w:p>
    <w:p>
      <w:pPr>
        <w:pStyle w:val="Heading2"/>
        <w:spacing w:after="100" w:before="240"/>
      </w:pPr>
      <w:r>
        <w:rPr>
          <w:b/>
          <w:bCs/>
          <w:color w:val="2D8A4E"/>
          <w:sz w:val="24"/>
          <w:szCs w:val="24"/>
        </w:rPr>
        <w:t xml:space="preserve">3.1 When to Attach One</w:t>
      </w:r>
    </w:p>
    <w:p>
      <w:pPr>
        <w:spacing w:after="120" w:line="280"/>
      </w:pPr>
      <w:r>
        <w:t xml:space="preserve">The submission form includes an optional file upload. Attach a supporting document when:</w:t>
      </w:r>
    </w:p>
    <w:p>
      <w:pPr>
        <w:pStyle w:val="ListParagraph"/>
        <w:numPr>
          <w:ilvl w:val="0"/>
          <w:numId w:val="3"/>
        </w:numPr>
        <w:spacing w:after="80" w:line="280"/>
      </w:pPr>
      <w:r>
        <w:t xml:space="preserve">You want to include figures, tables, or equations that clarify the method</w:t>
      </w:r>
    </w:p>
    <w:p>
      <w:pPr>
        <w:pStyle w:val="ListParagraph"/>
        <w:numPr>
          <w:ilvl w:val="0"/>
          <w:numId w:val="3"/>
        </w:numPr>
        <w:spacing w:after="80" w:line="280"/>
      </w:pPr>
      <w:r>
        <w:t xml:space="preserve">The work has produced a draft paper, technical report, or thesis chapter you wish to share</w:t>
      </w:r>
    </w:p>
    <w:p>
      <w:pPr>
        <w:pStyle w:val="ListParagraph"/>
        <w:numPr>
          <w:ilvl w:val="0"/>
          <w:numId w:val="3"/>
        </w:numPr>
        <w:spacing w:after="80" w:line="280"/>
      </w:pPr>
      <w:r>
        <w:t xml:space="preserve">Industry partners or collaborators have requested supporting materials accompany the submission</w:t>
      </w:r>
    </w:p>
    <w:p>
      <w:pPr>
        <w:spacing w:after="120" w:line="280"/>
      </w:pPr>
      <w:r>
        <w:t xml:space="preserve">A supporting document is not required and submissions without one are not penalised.</w:t>
      </w:r>
    </w:p>
    <w:p>
      <w:pPr>
        <w:pStyle w:val="Heading2"/>
        <w:spacing w:after="100" w:before="240"/>
      </w:pPr>
      <w:r>
        <w:rPr>
          <w:b/>
          <w:bCs/>
          <w:color w:val="2D8A4E"/>
          <w:sz w:val="24"/>
          <w:szCs w:val="24"/>
        </w:rPr>
        <w:t xml:space="preserve">3.2 Format and Length</w:t>
      </w:r>
    </w:p>
    <w:p>
      <w:pPr>
        <w:spacing w:after="120" w:line="280"/>
      </w:pPr>
      <w:r>
        <w:t xml:space="preserve">If you attach a document, observe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0F3A1F"/>
              </w:rPr>
              <w:t xml:space="preserve">Setting</w:t>
            </w:r>
          </w:p>
        </w:tc>
        <w:tc>
          <w:tcPr>
            <w:tcW w:type="dxa" w:w="64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111111"/>
              </w:rPr>
              <w:t xml:space="preserve">Value</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File format</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PDF (preferred) or Word (.docx)</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Length</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4 pages maximum, including figures and references</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Page size</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A4 or US Letter</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Font</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Arial, Calibri, or Times New Roman, 10–11 pt</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Margins</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1 inch / 25 mm on all sides</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Line spacing</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Single</w:t>
            </w:r>
          </w:p>
        </w:tc>
      </w:tr>
    </w:tbl>
    <w:p>
      <w:pPr>
        <w:spacing w:after="200"/>
      </w:pPr>
      <w:r>
        <w:t xml:space="preserve"/>
      </w:r>
    </w:p>
    <w:p>
      <w:pPr>
        <w:pStyle w:val="Heading2"/>
        <w:spacing w:after="100" w:before="240"/>
      </w:pPr>
      <w:r>
        <w:rPr>
          <w:b/>
          <w:bCs/>
          <w:color w:val="2D8A4E"/>
          <w:sz w:val="24"/>
          <w:szCs w:val="24"/>
        </w:rPr>
        <w:t xml:space="preserve">3.3 Figures and Tables</w:t>
      </w:r>
    </w:p>
    <w:p>
      <w:pPr>
        <w:spacing w:after="120" w:line="280"/>
      </w:pPr>
      <w:r>
        <w:t xml:space="preserve">Figures and tables must be embedded in the document (not attached as separate files). Each figure and table must include a numbered caption — “Figure 1.”, “Table 1.”, and so on. If a figure or table is copyrighted by a third party, include an attribution line below the caption.</w:t>
      </w:r>
    </w:p>
    <w:p>
      <w:pPr>
        <w:pStyle w:val="Heading2"/>
        <w:spacing w:after="100" w:before="240"/>
      </w:pPr>
      <w:r>
        <w:rPr>
          <w:b/>
          <w:bCs/>
          <w:color w:val="2D8A4E"/>
          <w:sz w:val="24"/>
          <w:szCs w:val="24"/>
        </w:rPr>
        <w:t xml:space="preserve">3.4 References</w:t>
      </w:r>
    </w:p>
    <w:p>
      <w:pPr>
        <w:spacing w:after="120" w:line="280"/>
      </w:pPr>
      <w:r>
        <w:t xml:space="preserve">References are optional but encouraged. List up to eight references at the end of the supporting document. Cite in-text using author-year format — e.g., (Smith, 2024) — and list alphabetically. Persistent identifiers (DOIs) are preferred over URLs.</w:t>
      </w:r>
    </w:p>
    <w:p>
      <w:pPr>
        <w:pStyle w:val="Heading1"/>
        <w:spacing w:after="180" w:before="360"/>
      </w:pPr>
      <w:r>
        <w:rPr>
          <w:b/>
          <w:bCs/>
          <w:color w:val="0F3A1F"/>
          <w:sz w:val="28"/>
          <w:szCs w:val="28"/>
        </w:rPr>
        <w:t xml:space="preserve">4. Submission Process</w:t>
      </w:r>
    </w:p>
    <w:p>
      <w:pPr>
        <w:pStyle w:val="Heading2"/>
        <w:spacing w:after="100" w:before="240"/>
      </w:pPr>
      <w:r>
        <w:rPr>
          <w:b/>
          <w:bCs/>
          <w:color w:val="2D8A4E"/>
          <w:sz w:val="24"/>
          <w:szCs w:val="24"/>
        </w:rPr>
        <w:t xml:space="preserve">4.1 How to Submit</w:t>
      </w:r>
    </w:p>
    <w:p>
      <w:pPr>
        <w:spacing w:after="120" w:line="280"/>
      </w:pPr>
      <w:r>
        <w:t xml:space="preserve">Visit thesurveyschool.com/symposium and complete the application form. The form takes approximately five minutes for the required fields. Plan to submit in one sitting — the form does not yet save partial responses.</w:t>
      </w:r>
    </w:p>
    <w:p>
      <w:pPr>
        <w:pStyle w:val="Heading2"/>
        <w:spacing w:after="100" w:before="240"/>
      </w:pPr>
      <w:r>
        <w:rPr>
          <w:b/>
          <w:bCs/>
          <w:color w:val="2D8A4E"/>
          <w:sz w:val="24"/>
          <w:szCs w:val="24"/>
        </w:rPr>
        <w:t xml:space="preserve">4.2 Review and Acceptance</w:t>
      </w:r>
    </w:p>
    <w:p>
      <w:pPr>
        <w:spacing w:after="120" w:line="280"/>
      </w:pPr>
      <w:r>
        <w:t xml:space="preserve">Submissions are reviewed by the Programme Committee within 48 hours of receipt. Acceptance decisions are communicated by email. Selected applicants receive instructions for joining the cohort training calls.</w:t>
      </w:r>
    </w:p>
    <w:p>
      <w:pPr>
        <w:pStyle w:val="Heading2"/>
        <w:spacing w:after="100" w:before="240"/>
      </w:pPr>
      <w:r>
        <w:rPr>
          <w:b/>
          <w:bCs/>
          <w:color w:val="2D8A4E"/>
          <w:sz w:val="24"/>
          <w:szCs w:val="24"/>
        </w:rPr>
        <w:t xml:space="preserve">4.3 Cohort Training Calls</w:t>
      </w:r>
    </w:p>
    <w:p>
      <w:pPr>
        <w:spacing w:after="120" w:line="280"/>
      </w:pPr>
      <w:r>
        <w:t xml:space="preserve">Two virtual training calls are held on June 29 and July 2, 2026. The calls cover how to frame research for a non-expert audience, slide design, presentation pacing, and live Q&amp;A handling. Attendance is expected for selected applicants. Recordings are made available to anyone who cannot attend live.</w:t>
      </w:r>
    </w:p>
    <w:p>
      <w:pPr>
        <w:pStyle w:val="Heading2"/>
        <w:spacing w:after="100" w:before="240"/>
      </w:pPr>
      <w:r>
        <w:rPr>
          <w:b/>
          <w:bCs/>
          <w:color w:val="2D8A4E"/>
          <w:sz w:val="24"/>
          <w:szCs w:val="24"/>
        </w:rPr>
        <w:t xml:space="preserve">4.4 Final Presentation Submission</w:t>
      </w:r>
    </w:p>
    <w:p>
      <w:pPr>
        <w:spacing w:after="120" w:line="280"/>
      </w:pPr>
      <w:r>
        <w:t xml:space="preserve">Camera-ready slides and a recorded talk-through must be submitted by July 17, 2026. Submission format and channel are confirmed during the cohort training calls. The Programme Committee uses these materials as a backup in case of live technical issues during the Symposium.</w:t>
      </w:r>
    </w:p>
    <w:p>
      <w:pPr>
        <w:pStyle w:val="Heading2"/>
        <w:spacing w:after="100" w:before="240"/>
      </w:pPr>
      <w:r>
        <w:rPr>
          <w:b/>
          <w:bCs/>
          <w:color w:val="2D8A4E"/>
          <w:sz w:val="24"/>
          <w:szCs w:val="24"/>
        </w:rPr>
        <w:t xml:space="preserve">4.5 Live Symposium</w:t>
      </w:r>
    </w:p>
    <w:p>
      <w:pPr>
        <w:spacing w:after="120" w:line="280"/>
      </w:pPr>
      <w:r>
        <w:t xml:space="preserve">The Symposium is held on Monday, July 20, 2026, virtually. Each presenter is allocated approximately 30 minutes — 20 minutes for the presentation and 10 minutes for live audience Q&amp;A moderated by the Committee.</w:t>
      </w:r>
    </w:p>
    <w:p>
      <w:pPr>
        <w:pStyle w:val="Heading1"/>
        <w:spacing w:after="180" w:before="360"/>
      </w:pPr>
      <w:r>
        <w:rPr>
          <w:b/>
          <w:bCs/>
          <w:color w:val="0F3A1F"/>
          <w:sz w:val="28"/>
          <w:szCs w:val="28"/>
        </w:rPr>
        <w:t xml:space="preserve">5. Evaluation Criteria</w:t>
      </w:r>
    </w:p>
    <w:p>
      <w:pPr>
        <w:spacing w:after="120" w:line="280"/>
      </w:pPr>
      <w:r>
        <w:t xml:space="preserve">The Programme Committee scores each presentation across four dimensions: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2880"/>
      </w:tblGrid>
      <w:tr>
        <w:tc>
          <w:tcPr>
            <w:tcW w:type="dxa" w:w="64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0F3A1F"/>
              </w:rPr>
              <w:t xml:space="preserve">Criterion</w:t>
            </w:r>
          </w:p>
        </w:tc>
        <w:tc>
          <w:tcPr>
            <w:tcW w:type="dxa" w:w="28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111111"/>
              </w:rPr>
              <w:t xml:space="preserve">Weight</w:t>
            </w:r>
          </w:p>
        </w:tc>
      </w:tr>
      <w:tr>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Originality and novelty</w:t>
            </w:r>
          </w:p>
        </w:tc>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30%</w:t>
            </w:r>
          </w:p>
        </w:tc>
      </w:tr>
      <w:tr>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Technical depth and rigor</w:t>
            </w:r>
          </w:p>
        </w:tc>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30%</w:t>
            </w:r>
          </w:p>
        </w:tc>
      </w:tr>
      <w:tr>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Clarity of communication</w:t>
            </w:r>
          </w:p>
        </w:tc>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25%</w:t>
            </w:r>
          </w:p>
        </w:tc>
      </w:tr>
      <w:tr>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Audience and industry relevance</w:t>
            </w:r>
          </w:p>
        </w:tc>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15%</w:t>
            </w:r>
          </w:p>
        </w:tc>
      </w:tr>
    </w:tbl>
    <w:p>
      <w:pPr>
        <w:spacing w:after="180"/>
      </w:pPr>
      <w:r>
        <w:t xml:space="preserve"/>
      </w:r>
    </w:p>
    <w:p>
      <w:pPr>
        <w:spacing w:after="120" w:line="280"/>
      </w:pPr>
      <w:r>
        <w:t xml:space="preserve">The winner is announced at the close of the Symposium. The prize is a fully-funded trip to Intergeo 2026 in Munich, Germany (September 15–17, 2026 at Messe Munich), including round-trip economy flight, hotel for the conference dates, and a trade-fair conference badge. Intergeo is organised by DVW e.V.</w:t>
      </w:r>
    </w:p>
    <w:p>
      <w:pPr>
        <w:pStyle w:val="Heading1"/>
        <w:spacing w:after="180" w:before="360"/>
      </w:pPr>
      <w:r>
        <w:rPr>
          <w:b/>
          <w:bCs/>
          <w:color w:val="0F3A1F"/>
          <w:sz w:val="28"/>
          <w:szCs w:val="28"/>
        </w:rPr>
        <w:t xml:space="preserve">6. Key Dates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0F3A1F"/>
              </w:rPr>
              <w:t xml:space="preserve">Date</w:t>
            </w:r>
          </w:p>
        </w:tc>
        <w:tc>
          <w:tcPr>
            <w:tcW w:type="dxa" w:w="6480"/>
            <w:tcBorders>
              <w:top w:val="single" w:color="D1D5DB" w:sz="4"/>
              <w:left w:val="single" w:color="D1D5DB" w:sz="4"/>
              <w:bottom w:val="single" w:color="D1D5DB" w:sz="4"/>
              <w:right w:val="single" w:color="D1D5DB" w:sz="4"/>
            </w:tcBorders>
            <w:shd w:fill="F3F6F4" w:val="clear"/>
            <w:tcMar>
              <w:top w:type="dxa" w:w="100"/>
              <w:left w:type="dxa" w:w="160"/>
              <w:bottom w:type="dxa" w:w="100"/>
              <w:right w:type="dxa" w:w="160"/>
            </w:tcMar>
          </w:tcPr>
          <w:p>
            <w:pPr>
              <w:spacing w:after="0" w:line="260"/>
            </w:pPr>
            <w:r>
              <w:rPr>
                <w:b/>
                <w:bCs/>
                <w:color w:val="111111"/>
              </w:rPr>
              <w:t xml:space="preserve">Milestone</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May 25,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Call for abstracts opens</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June 25,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Abstract submissions due</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June 29,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Cohort training call 1</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July 2,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Cohort training call 2</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July 17,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Final presentation materials due</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July 20,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Survey Research Symposium (virtual)</w:t>
            </w:r>
          </w:p>
        </w:tc>
      </w:tr>
      <w:tr>
        <w:tc>
          <w:tcPr>
            <w:tcW w:type="dxa" w:w="28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bCs/>
                <w:color w:val="0F3A1F"/>
              </w:rPr>
              <w:t xml:space="preserve">Sept 15–17, 2026</w:t>
            </w:r>
          </w:p>
        </w:tc>
        <w:tc>
          <w:tcPr>
            <w:tcW w:type="dxa" w:w="6480"/>
            <w:tcBorders>
              <w:top w:val="single" w:color="D1D5DB" w:sz="4"/>
              <w:left w:val="single" w:color="D1D5DB" w:sz="4"/>
              <w:bottom w:val="single" w:color="D1D5DB" w:sz="4"/>
              <w:right w:val="single" w:color="D1D5DB" w:sz="4"/>
            </w:tcBorders>
            <w:tcMar>
              <w:top w:type="dxa" w:w="100"/>
              <w:left w:type="dxa" w:w="160"/>
              <w:bottom w:type="dxa" w:w="100"/>
              <w:right w:type="dxa" w:w="160"/>
            </w:tcMar>
          </w:tcPr>
          <w:p>
            <w:pPr>
              <w:spacing w:after="0" w:line="260"/>
            </w:pPr>
            <w:r>
              <w:rPr>
                <w:b w:val="false"/>
                <w:bCs w:val="false"/>
                <w:color w:val="111111"/>
              </w:rPr>
              <w:t xml:space="preserve">Intergeo 2026, Munich — winner’s trip</w:t>
            </w:r>
          </w:p>
        </w:tc>
      </w:tr>
    </w:tbl>
    <w:p>
      <w:pPr>
        <w:spacing w:after="220"/>
      </w:pPr>
      <w:r>
        <w:t xml:space="preserve"/>
      </w:r>
    </w:p>
    <w:p>
      <w:pPr>
        <w:spacing w:after="120" w:line="280"/>
      </w:pPr>
      <w:r>
        <w:rPr>
          <w:i/>
          <w:iCs/>
          <w:color w:val="6B7280"/>
        </w:rPr>
        <w:t xml:space="preserve">Dates are subject to confirmation. </w:t>
      </w:r>
      <w:r>
        <w:rPr>
          <w:i/>
          <w:iCs/>
          <w:color w:val="6B7280"/>
        </w:rPr>
        <w:t xml:space="preserve">Visit thesurveyschool.com/symposium for the most current schedule.</w:t>
      </w:r>
    </w:p>
    <w:p>
      <w:pPr>
        <w:pStyle w:val="Heading1"/>
        <w:spacing w:after="180" w:before="360"/>
      </w:pPr>
      <w:r>
        <w:rPr>
          <w:b/>
          <w:bCs/>
          <w:color w:val="0F3A1F"/>
          <w:sz w:val="28"/>
          <w:szCs w:val="28"/>
        </w:rPr>
        <w:t xml:space="preserve">7. Contact</w:t>
      </w:r>
    </w:p>
    <w:p>
      <w:pPr>
        <w:spacing w:after="120" w:line="280"/>
      </w:pPr>
      <w:r>
        <w:t xml:space="preserve">Questions about the Symposium, the application form, or these guidelines should be directed to the Programme Committee at </w:t>
      </w:r>
      <w:r>
        <w:rPr>
          <w:b/>
          <w:bCs/>
          <w:color w:val="2D8A4E"/>
        </w:rPr>
        <w:t xml:space="preserve">symposium@thesurveyschool.com</w:t>
      </w:r>
      <w:r>
        <w:t xml:space="preserve">. Responses within two business days.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spacing w:before="80"/>
    </w:pPr>
    <w:r>
      <w:rPr>
        <w:color w:val="6B7280"/>
        <w:sz w:val="16"/>
        <w:szCs w:val="16"/>
      </w:rPr>
      <w:t xml:space="preserve">The Survey School · thesurveyschool.com</w:t>
    </w:r>
    <w:r>
      <w:rPr>
        <w:color w:val="6B7280"/>
        <w:sz w:val="16"/>
        <w:szCs w:val="16"/>
      </w:rPr>
      <w:t xml:space="preserve">		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8A4E" w:sz="4" w:space="4"/>
      </w:pBdr>
      <w:spacing w:after="0"/>
      <w:jc w:val="right"/>
    </w:pPr>
    <w:r>
      <w:rPr>
        <w:b/>
        <w:bCs/>
        <w:color w:val="2D8A4E"/>
        <w:spacing w:val="40"/>
        <w:sz w:val="16"/>
        <w:szCs w:val="16"/>
      </w:rPr>
      <w:t xml:space="preserve">SURVEY RESEARCH SYMPOSIUM · AUTHOR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3A1F"/>
      <w:sz w:val="28"/>
      <w:szCs w:val="28"/>
    </w:rPr>
  </w:style>
  <w:style w:type="paragraph" w:styleId="Heading2">
    <w:name w:val="Heading 2"/>
    <w:basedOn w:val="Normal"/>
    <w:next w:val="Normal"/>
    <w:qFormat/>
    <w:pPr>
      <w:spacing w:after="100" w:before="240"/>
      <w:outlineLvl w:val="1"/>
    </w:pPr>
    <w:rPr>
      <w:rFonts w:ascii="Arial" w:cs="Arial" w:eastAsia="Arial" w:hAnsi="Arial"/>
      <w:b/>
      <w:bCs/>
      <w:color w:val="2D8A4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Research Symposium — Author Guidelines</dc:title>
  <dc:creator>The Survey School</dc:creator>
  <dc:description>Guidelines for preparing and submitting an abstract to The Survey School Research Symposium.</dc:description>
  <cp:lastModifiedBy>Un-named</cp:lastModifiedBy>
  <cp:revision>1</cp:revision>
  <dcterms:created xsi:type="dcterms:W3CDTF">2026-05-18T14:56:39.864Z</dcterms:created>
  <dcterms:modified xsi:type="dcterms:W3CDTF">2026-05-18T14:56:39.878Z</dcterms:modified>
</cp:coreProperties>
</file>

<file path=docProps/custom.xml><?xml version="1.0" encoding="utf-8"?>
<Properties xmlns="http://schemas.openxmlformats.org/officeDocument/2006/custom-properties" xmlns:vt="http://schemas.openxmlformats.org/officeDocument/2006/docPropsVTypes"/>
</file>